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  <w:t>Програма за предоставяне на равни възможности и за приобщаване на децата от уязвими групи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150" w:line="600" w:lineRule="atLeast"/>
        <w:outlineLvl w:val="0"/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  <w:t> </w:t>
      </w:r>
    </w:p>
    <w:p w:rsidR="005C24CD" w:rsidRPr="005C24CD" w:rsidRDefault="005C24CD" w:rsidP="005C24CD">
      <w:pPr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</w:pPr>
      <w:r w:rsidRPr="005C24CD"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  <w:t>ЗА УЧЕБНАТА 2020/2021 ГОДИНА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Приета с Решение на Пед</w:t>
      </w:r>
      <w:r w:rsidR="007563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агогически съвет, проведен на 1</w:t>
      </w:r>
      <w:r w:rsidR="007563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</w:t>
      </w:r>
      <w:r w:rsidR="007563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09. 2020 г., с Протокол №1 от 1</w:t>
      </w:r>
      <w:r w:rsidR="007563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.09.2020г.</w:t>
      </w:r>
    </w:p>
    <w:p w:rsidR="005C24CD" w:rsidRPr="007563D8" w:rsidRDefault="005C24CD" w:rsidP="007563D8">
      <w:pPr>
        <w:spacing w:after="150" w:line="600" w:lineRule="atLeast"/>
        <w:outlineLvl w:val="0"/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val="en-US" w:eastAsia="bg-BG"/>
        </w:rPr>
      </w:pP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УВОД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програма цели да начертае целите и задачите на работа с деца от ДГ</w:t>
      </w:r>
      <w:r w:rsidR="007563D8"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563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2411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Детелина</w:t>
      </w:r>
      <w:bookmarkStart w:id="0" w:name="_GoBack"/>
      <w:bookmarkEnd w:id="0"/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 и урежда взаимоотношенията между институциите, във връзка с предоставянето на приобщаващо образование. 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 дете има право на достъп до образование независимо от етническия му произход, наличието на увреждане или икономическото положение на семейството му и това право е залегнало в Конвенцията на ООН за правата на детето. Процесът на приобщаване се състои в търсене на ресурсите на всяко дете за активното му участие в училищната общност.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за предоставяне на равни възможности и за приобщаване на деца от уязвимите групи е разработена при съобразяване нормите на Закона за предучилищното и училищното образование и Наредбата за приобщаващото образование, определяща държавния образователен стандарт за приобщаващото образование и в съответствие с действащите стратегически и оперативни национални документи,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Уязвими са онези лица и групи от хора, които търпят ограничения по отношение на участието им в социалния живот и ползването на социални права. Уязвимите групи не успяват да получат достъп или да се възползват от възможностите, които предлагат обществото и икономиката и стават жертава или попадат в ситуация на риск от маргинализиране и социално изключване. Необходима е целенасочена политика на интеграция и предоставяне на равни възможности на децата от етническите малцинства, деца със специални образователни потребности, деца с увреждания, деца с хронични заболявания, деца жертви на насилие както и деца на многодетни семейства. Това са така наречените уязвими групи деца.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</w:pPr>
      <w:r w:rsidRPr="005C24CD"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  <w:t>І. ЦЕЛИ НА ПРОГРАМАТА: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Пълноценна социализация на децата от уязвими групи.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Гарантиране на равен достъп до качествено образование за деца от уязвими групи.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 Утвърждаване на интеркултурното, гражданското и приобщаващото образование като неотменна част от процеса на модернизация в ДГ.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Откриване и развитие на уникалните заложби на децата от уязвими групи.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</w:pPr>
      <w:r w:rsidRPr="005C24CD"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  <w:t>ІІ. ДЕЙНОСТИ ЗА ПОСТИГАНЕ НА ЦЕЛИТЕ: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Дейности за повишаване компетентностите на учителите за работа с деца от уязвими групи: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Осигуряване на допълнителна квалификация на педагогическите специалисти за работа в мултикултурна образователна среда.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Изграждане и функциониране на информационна система за проследяване на деца в риск.</w:t>
      </w:r>
    </w:p>
    <w:p w:rsidR="005C24CD" w:rsidRPr="005C24CD" w:rsidRDefault="005C24CD" w:rsidP="005C24C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Прилагане на разнообразни практики насочени към съхраняване и развитие на културната идентичност на децата от етническите малцинства.</w:t>
      </w:r>
    </w:p>
    <w:p w:rsidR="005C24CD" w:rsidRPr="005C24CD" w:rsidRDefault="005C24CD" w:rsidP="005C24CD">
      <w:pPr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Ранно идентифициране на деца от уязвими групи.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Ранно оценяване на потребностите и превенция на обучителните затруднения.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</w:pPr>
      <w:r w:rsidRPr="005C24CD"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  <w:t>Дейности за интеграция на децата от уязвими групи в детската градина и за подобряване на училищната готовност: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Създаване на условия за успешна адаптация на децата от уязвимите групи и пълноценно включване в образователния процес.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Повишаване на степента на училищна готовност на децата от ромски произход за осигуряване на равен старт в училище.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Подобряване на здравния статус на децата от уязвими групи чрез редовно наблюдение на здравното, физическото и психомоторното развитие.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Превенция на неглижирането, насилието и други рискове в ранна детска възраст. Осигуряване на подкрепа за деца, живеещи в неблагоприятна семейна, емоционална и културна среда.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Ранно оценяване на индивидуалните потребности на децата с цел да им се предложи и осигури адекватна помощ.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 Преодоляване на затрудненията на децата с обучителни проблеми в подготовката за училище чрез осигуряване на специализирана помощ в обучението, общуването с връстниците, справянето с емоционални и други проблеми.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 Подкрепа на разнообразни съвместни изяви на деца от различни етнически общности за съхраняване и развитие на общите и специфични традиции по регион.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</w:pPr>
      <w:r w:rsidRPr="005C24CD"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  <w:t>Дейности за формиране и развитие на родителски умения и подкрепа към родителите: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Повишаване на родителския капацитет за отглеждане и възпитание на децата чрез предоставяне на възможности на родителите от уязвими групи за придобиване на познания, трениране на умения и създаване на нагласи за отговорно и зряло родителство.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Повишаване ролята на родителите като основен фактор в социалното, здравното и емоционално развитие на децата.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 Мотивиране и активно включване на родителите в интеграционния процес, както и приемане идеята за ценността на образованието за бъдещето на децата им.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Преодоляване на негативните нагласи и стереотипите на останалите родители към малцинствените и уязвими групи чрез взаимно опознаване и приемане на различията.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 Провеждане на информационни кампании и родителски срещи за родителите с цел разясняване на взаимните ползи от интегрираното обучение на децата от уязвими групи.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4F2256" w:rsidRDefault="005C24CD" w:rsidP="004F225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Ангажиране на родителите на деца от уязвими групи в училищни настоятелства и обществени съвети.</w:t>
      </w:r>
      <w:r w:rsidRPr="004F2256"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  <w:t> </w:t>
      </w:r>
    </w:p>
    <w:p w:rsidR="005C24CD" w:rsidRPr="004F2256" w:rsidRDefault="005C24CD" w:rsidP="004F2256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</w:pPr>
      <w:r w:rsidRPr="005C24CD"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  <w:t>ІІІ. ПЛАН ЗА ДЕЙСТВИЕ ПО ПРОГРАМАТА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691"/>
        <w:gridCol w:w="53"/>
        <w:gridCol w:w="1539"/>
        <w:gridCol w:w="1453"/>
        <w:gridCol w:w="2119"/>
        <w:gridCol w:w="162"/>
      </w:tblGrid>
      <w:tr w:rsidR="00B74797" w:rsidRPr="005C24CD" w:rsidTr="00B74797">
        <w:trPr>
          <w:trHeight w:val="525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Забележка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B74797">
        <w:trPr>
          <w:trHeight w:val="15"/>
          <w:tblCellSpacing w:w="15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4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Идентифициране на деца, които имат</w:t>
            </w:r>
          </w:p>
          <w:p w:rsidR="004F2256" w:rsidRPr="005C24CD" w:rsidRDefault="004F2256" w:rsidP="004F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необходимост от подкрепа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BD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BD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Учителите на детски групи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Екипна работа на учителите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дадена детска група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256" w:rsidRDefault="004F2256" w:rsidP="00756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необходимост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4F2256">
        <w:trPr>
          <w:trHeight w:val="90"/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Ранно откриване на деца в риск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обучителни затруднения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Септември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 на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група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4F2256">
        <w:trPr>
          <w:trHeight w:val="102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Дейности по Механизъм за обхват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 и Комисия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rHeight w:val="90"/>
          <w:tblCellSpacing w:w="15" w:type="dxa"/>
        </w:trPr>
        <w:tc>
          <w:tcPr>
            <w:tcW w:w="0" w:type="auto"/>
            <w:vMerge/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4F2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координатор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екипа за оказване на подкрепа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м.10.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Представяне на дейности по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Интереси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м.10.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rHeight w:val="10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Представяте на дейностите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интереси на ЦПЛР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м.10.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 на центровет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проявен е интерес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страна на центровете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rHeight w:val="1005"/>
          <w:tblCellSpacing w:w="15" w:type="dxa"/>
        </w:trPr>
        <w:tc>
          <w:tcPr>
            <w:tcW w:w="0" w:type="auto"/>
            <w:vMerge/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Идентифициране на деца със СОП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Оценка на потребности на деца със СОП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по-късно от 3 месеца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идентифициране на нуждата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Психологическа подкрепа,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психо-социална рехабилитация и консултации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Екип ЦОП,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подписан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договор с родителите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Превантивни мерки за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недопускане отпадане от ДГ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директор,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rHeight w:val="9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провеждане на “Училище за родители“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плана за раб с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директор, екип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              желание родителите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rHeight w:val="735"/>
          <w:tblCellSpacing w:w="15" w:type="dxa"/>
        </w:trPr>
        <w:tc>
          <w:tcPr>
            <w:tcW w:w="0" w:type="auto"/>
            <w:vMerge/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4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интереса на децата, чрез участие в мероприятия на</w:t>
            </w:r>
          </w:p>
          <w:p w:rsidR="004F2256" w:rsidRPr="005C24CD" w:rsidRDefault="004F2256" w:rsidP="004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детската градина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годишния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4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Стимулиране участието на деца с изявени дарби в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изяви и състезания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7563D8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Стимулиране участието на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от различни етнически групи в изяви и състезания</w:t>
            </w:r>
          </w:p>
        </w:tc>
        <w:tc>
          <w:tcPr>
            <w:tcW w:w="0" w:type="auto"/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4F2256">
        <w:trPr>
          <w:trHeight w:val="1320"/>
          <w:tblCellSpacing w:w="15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Обучение на педагогически специалисти за работа в мултикултурна среда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график, заложен в плана</w:t>
            </w:r>
          </w:p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квалификация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директор, председатели на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74797" w:rsidRPr="005C24CD" w:rsidTr="00270AE6">
        <w:trPr>
          <w:trHeight w:val="45"/>
          <w:tblCellSpacing w:w="15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797" w:rsidRPr="00B74797" w:rsidRDefault="00B74797" w:rsidP="00B74797">
            <w:pPr>
              <w:pStyle w:val="NoSpacing"/>
              <w:rPr>
                <w:rFonts w:ascii="Times New Roman" w:hAnsi="Times New Roman" w:cs="Times New Roman"/>
              </w:rPr>
            </w:pPr>
            <w:r w:rsidRPr="00B74797">
              <w:rPr>
                <w:rFonts w:ascii="Times New Roman" w:hAnsi="Times New Roman" w:cs="Times New Roman"/>
              </w:rPr>
              <w:t>По-голяма атрактивност  на преподаванияматериал,  чрез</w:t>
            </w:r>
          </w:p>
          <w:p w:rsidR="004F2256" w:rsidRPr="00B74797" w:rsidRDefault="00B74797" w:rsidP="00B7479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4797">
              <w:rPr>
                <w:rFonts w:ascii="Times New Roman" w:hAnsi="Times New Roman" w:cs="Times New Roman"/>
              </w:rPr>
              <w:t> интерактивни  методи,  онагледяване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B74797" w:rsidRDefault="00B74797" w:rsidP="004F2256">
            <w:pPr>
              <w:pStyle w:val="NoSpacing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B747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практическа насоченост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B74797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6" w:rsidRPr="005C24CD" w:rsidRDefault="004F2256" w:rsidP="0075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24CD" w:rsidRPr="005C24CD" w:rsidRDefault="005C24CD" w:rsidP="00B74797">
      <w:pPr>
        <w:spacing w:after="150" w:line="600" w:lineRule="atLeast"/>
        <w:outlineLvl w:val="0"/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color w:val="2C3E50"/>
          <w:kern w:val="36"/>
          <w:sz w:val="53"/>
          <w:szCs w:val="53"/>
          <w:lang w:eastAsia="bg-BG"/>
        </w:rPr>
        <w:lastRenderedPageBreak/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30"/>
        <w:gridCol w:w="30"/>
        <w:gridCol w:w="1290"/>
        <w:gridCol w:w="224"/>
        <w:gridCol w:w="813"/>
        <w:gridCol w:w="30"/>
        <w:gridCol w:w="3712"/>
        <w:gridCol w:w="105"/>
      </w:tblGrid>
      <w:tr w:rsidR="00B74797" w:rsidRPr="005C24CD" w:rsidTr="005C2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24CD" w:rsidRPr="005C24CD" w:rsidTr="005C24CD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ПОЛИТИКИ ЗА ВЗАИМОДЕЙСТВИЕ, МЕЖДУ УЧАСТНИЦИТЕ В ПРОЦЕСА НА</w:t>
            </w:r>
          </w:p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ПРИОБЩАВАЩО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24CD" w:rsidRPr="005C24CD" w:rsidTr="005C24CD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Повишаване участието и ангажираността на родителите и обществеността</w:t>
            </w:r>
          </w:p>
        </w:tc>
        <w:tc>
          <w:tcPr>
            <w:tcW w:w="0" w:type="auto"/>
            <w:vMerge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rHeight w:val="162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Включване на родителската общност за повишаване на активността й и сътрудничество с ръководство на</w:t>
            </w:r>
          </w:p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детската градина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Default="00B74797" w:rsidP="00B7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5C24CD"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Директорът</w:t>
            </w:r>
          </w:p>
          <w:p w:rsidR="00B74797" w:rsidRPr="005C24CD" w:rsidRDefault="00B74797" w:rsidP="00B7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Учителите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инициативи</w:t>
            </w:r>
          </w:p>
        </w:tc>
        <w:tc>
          <w:tcPr>
            <w:tcW w:w="0" w:type="auto"/>
            <w:vMerge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rHeight w:val="3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797" w:rsidRPr="005C24CD" w:rsidRDefault="00B74797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97" w:rsidRPr="005C24CD" w:rsidRDefault="00B74797" w:rsidP="00B7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797" w:rsidRPr="005C24CD" w:rsidRDefault="00B74797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797" w:rsidRPr="005C24CD" w:rsidRDefault="00B74797" w:rsidP="00B7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vAlign w:val="center"/>
          </w:tcPr>
          <w:p w:rsidR="00B74797" w:rsidRPr="005C24CD" w:rsidRDefault="00B74797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Разчу</w:t>
            </w:r>
            <w:r w:rsidR="00B747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пване</w:t>
            </w: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r w:rsidR="00B74797"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стереотипа                              </w:t>
            </w:r>
          </w:p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 на родителски срещи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Директорът,</w:t>
            </w:r>
          </w:p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Учителите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родителски</w:t>
            </w:r>
          </w:p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срещи</w:t>
            </w:r>
          </w:p>
        </w:tc>
        <w:tc>
          <w:tcPr>
            <w:tcW w:w="0" w:type="auto"/>
            <w:vMerge/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rHeight w:val="1380"/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Сътрудничество с различни организации –Дирекция „Социално подпомагане”, отдел „Закрила на</w:t>
            </w:r>
          </w:p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детето”и др.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97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Директорът,</w:t>
            </w:r>
          </w:p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Учителите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срещи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797" w:rsidRPr="005C24CD" w:rsidRDefault="00B74797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97" w:rsidRPr="005C24CD" w:rsidRDefault="00B74797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797" w:rsidRPr="005C24CD" w:rsidRDefault="00B74797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797" w:rsidRPr="005C24CD" w:rsidRDefault="00B74797" w:rsidP="00B7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B74797" w:rsidRPr="005C24CD" w:rsidRDefault="00B74797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797" w:rsidRPr="005C24CD" w:rsidTr="00B74797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Планиране на дейности в групите, насочени към идентифициране на деца в риск и индивидуалното им</w:t>
            </w:r>
          </w:p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консултиране и работа с родителите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B74797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  <w:r w:rsidR="005C24CD"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по групи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2020/2021 г.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D" w:rsidRPr="005C24CD" w:rsidRDefault="005C24CD" w:rsidP="00B7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консултации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C24CD" w:rsidRPr="005C24CD" w:rsidRDefault="005C24CD" w:rsidP="005C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ОЧАКВАНИ РЕЗУЛТАТИ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на всички заинтересовани страни в процеса на образователната интеграция. Успешно интегрирани деца в мултикултурна образователна среда.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 обхват в ДГ на деца подлежащи на задължително образование (5-7г.).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Придобити знания, умения и компетентности за работа в мултикултурна образователна среда в подготовката на педагогическите специалисти.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Осъществена квалификация на педагогически специалисти за работа в мултикултурна образователна среда.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</w:pPr>
      <w:r w:rsidRPr="005C24CD">
        <w:rPr>
          <w:rFonts w:ascii="Times New Roman" w:eastAsia="Times New Roman" w:hAnsi="Times New Roman" w:cs="Times New Roman"/>
          <w:color w:val="2C3E50"/>
          <w:sz w:val="38"/>
          <w:szCs w:val="38"/>
          <w:lang w:eastAsia="bg-BG"/>
        </w:rPr>
        <w:t>V.  ИНДИКАТОРИ ЗА РЕЗУЛТАТ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-дял от децата, подлежащи на задължително образование (от 5 до 7 години), обхванати в детската градина;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-дял на отпадналите от ДГ за една учебна година;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-дял на учителите, преминали обучение за работа в мултикултурна образователна среда и за работа с деца със СОП.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Устойчивостта на програмата 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измерва чрез осигуряване на трайно и дългосрочно въздействие на постигнатите резултати. Институционална устойчивост: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Придобитият опит по време на изпълнение на дейностите по програмата ще бъде използван в бъдещи допълнителни дейности за децата.</w:t>
      </w:r>
    </w:p>
    <w:p w:rsidR="005C24CD" w:rsidRPr="005C24CD" w:rsidRDefault="005C24CD" w:rsidP="005C24C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Изработеният практически модел ще ни помага и в бъдеще да решаваме конкретни проблеми сред децата за решаване на ключови въпроси в съвместната дейност и изчистване на някои пропуски при обучението им.</w:t>
      </w:r>
    </w:p>
    <w:p w:rsidR="005C24CD" w:rsidRDefault="005C24CD" w:rsidP="00B7479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Натрупаните и документирани знания за бит, традиции, обичаи, празници, песни и танци ще бъдат основа за инкорпорирането им в програмата на детското заведение.</w:t>
      </w:r>
    </w:p>
    <w:p w:rsidR="00B74797" w:rsidRPr="00B74797" w:rsidRDefault="00B74797" w:rsidP="00B7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4CD" w:rsidRPr="00B74797" w:rsidRDefault="005C24CD" w:rsidP="005C24CD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2"/>
          <w:szCs w:val="32"/>
          <w:lang w:eastAsia="bg-BG"/>
        </w:rPr>
      </w:pPr>
      <w:r w:rsidRPr="00B74797">
        <w:rPr>
          <w:rFonts w:ascii="Times New Roman" w:eastAsia="Times New Roman" w:hAnsi="Times New Roman" w:cs="Times New Roman"/>
          <w:color w:val="2C3E50"/>
          <w:sz w:val="32"/>
          <w:szCs w:val="32"/>
          <w:lang w:eastAsia="bg-BG"/>
        </w:rPr>
        <w:t>Ефекти по отношение на целевите групи: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Успешното реализиране на програмата ще даде възможност за приобщаване на деца със СОП и децата от етническите малцинствени групи към обществото и те ще могат да развият умения, знания и самочувствие за бъдеща социална, творческа и професионална реализация.</w:t>
      </w:r>
    </w:p>
    <w:p w:rsidR="005C24CD" w:rsidRPr="005C24CD" w:rsidRDefault="005C24CD" w:rsidP="005C24C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Предоставянето на равен достъп до образование ще засили мотивацията за включване в образователния процес.</w:t>
      </w:r>
    </w:p>
    <w:p w:rsidR="005C24CD" w:rsidRPr="005C24CD" w:rsidRDefault="005C24CD" w:rsidP="005C24C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Децата със специфични образователни потребности ще имат възможност да  участват в общи дейности. Програмата осигурява контакти, приемственост, приятелство и взаимопомощ между децата.</w:t>
      </w:r>
    </w:p>
    <w:p w:rsidR="005C24CD" w:rsidRPr="005C24CD" w:rsidRDefault="005C24CD" w:rsidP="005C24C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Повишената информираност на родителите и придобитите нови знания ще им даде стимул да подкрепят и насърчават своите деца, ще ги превърне в активни партньори в образователния процес и в живота на ДГ.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B74797" w:rsidRDefault="005C24CD" w:rsidP="005C24CD">
      <w:pPr>
        <w:spacing w:after="150" w:line="450" w:lineRule="atLeast"/>
        <w:outlineLvl w:val="2"/>
        <w:rPr>
          <w:rFonts w:ascii="Times New Roman" w:eastAsia="Times New Roman" w:hAnsi="Times New Roman" w:cs="Times New Roman"/>
          <w:color w:val="2C3E50"/>
          <w:sz w:val="32"/>
          <w:szCs w:val="32"/>
          <w:lang w:eastAsia="bg-BG"/>
        </w:rPr>
      </w:pPr>
      <w:r w:rsidRPr="00B74797">
        <w:rPr>
          <w:rFonts w:ascii="Times New Roman" w:eastAsia="Times New Roman" w:hAnsi="Times New Roman" w:cs="Times New Roman"/>
          <w:color w:val="2C3E50"/>
          <w:sz w:val="32"/>
          <w:szCs w:val="32"/>
          <w:lang w:eastAsia="bg-BG"/>
        </w:rPr>
        <w:t>Заключение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Приобщаващото образование е процес на осъзнаване, приемане и подкрепа на индивидуалността на всяко дете и на разнообразието от потребности на всички деца, чрез активиране и включване на ресурси, насочени към премахване на пречките пред ученето и научаването, и към създаване на възможности за развитие и участие на децата във всички аспекти на живота на общността.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A20D8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ДГ „</w:t>
      </w:r>
      <w:r w:rsidR="00B7479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се обучават деца предимно от </w:t>
      </w:r>
      <w:r w:rsidR="004A20D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Нови хан.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Детското заведение няма достатъчно богат опит в работата и интеграцията на различни етноси в мултиетническа и мултикултурна среда</w:t>
      </w:r>
      <w:r w:rsidR="004A20D8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липса на такива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Семейната среда често е пречка за процеса на образователна интеграция.  Родителите  владеят добре български език и  възприемат образованието 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като ценност.</w:t>
      </w:r>
      <w:r w:rsidR="004A2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Нямаме 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децата в ДГ от социално уязвими семейства (безработни, с ниска степен на образование и липса на професионална квалификация, ниско ниво на здравна култура), за които не се полагат подходящи грижи. Част от децата са със здравословни проблеми – с увреждания, хронични заболявания или често боледуващи от инфекциозни болести.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тези условия ни карат да търсим начини за създаване на форми, чрез които децата да преодолеят изоставането си и да усвоят добри модели за общуване и култура на поведение. Комплексните дейности по програмата ще допринесат за преодоляване на различията, осигуряване на равен достъп, успешна социализация и мотивация на деца и родители за участие в образователния процес. Равният достъп до образование и качественото образование са взаимно обвързани –равният достъп означава достъп до качествено образование, а качественото образование разкрива пълния си потенциал само ако до него има достъп всяко българско дете.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4A20D8" w:rsidRDefault="005C24CD" w:rsidP="004A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участници в дейностите по програмата са поставени пред равни възможности за участие и реализация. Всяка една от дейностите е фокусирана върху изграждане на среда, която да утвърждава принципа на равните възможности и липсата на дискриминация по</w:t>
      </w:r>
      <w:r w:rsidR="004A2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отношение на пол, възраст, религиозни убеждения, физически увреждания и  др. Дейностите по програмата дават възможност за равно третиране и равни възможности на всички участници, учители, партньори, независимо от пол, раса, религиозна принадлежност, възраст, увреждания, сексуална ориентация и пр.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сектор и родителска общност. Всички участници в образователния процес (семейство, детска градина, институции, НПО) трябва да бъдат еднакво отговорни и ангажирани за постигането на поставените цели.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се актуализира в началото на всяка учебна година и в случаи на значителни промени в организацията на работа или на нормативните актове.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програмата са запознати всички членове на колектива.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CD" w:rsidRPr="005C24CD" w:rsidRDefault="005C24CD" w:rsidP="005C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за предоставяне на равни възможности и за приобщаване на д</w:t>
      </w:r>
      <w:r w:rsidR="004A20D8">
        <w:rPr>
          <w:rFonts w:ascii="Times New Roman" w:eastAsia="Times New Roman" w:hAnsi="Times New Roman" w:cs="Times New Roman"/>
          <w:sz w:val="24"/>
          <w:szCs w:val="24"/>
          <w:lang w:eastAsia="bg-BG"/>
        </w:rPr>
        <w:t>ецата от уязвими групи на ДГ „Детелина“ за уч.2020-2021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разработена съгласно чл.22, ал.2, т.7 от ЗПУО. Програмата е приета на заседание  на  Педагогическия  съвет  с  Прото</w:t>
      </w:r>
      <w:r w:rsidR="004A20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 №1 от 14</w:t>
      </w:r>
      <w:r w:rsidRPr="005C24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.09.2020 г. и е утвърдена със заповед на директора.</w:t>
      </w:r>
    </w:p>
    <w:p w:rsidR="005C24CD" w:rsidRPr="005C24CD" w:rsidRDefault="005C24CD" w:rsidP="005C24CD">
      <w:pPr>
        <w:pBdr>
          <w:top w:val="single" w:sz="6" w:space="10" w:color="2C3E50"/>
          <w:left w:val="single" w:sz="2" w:space="0" w:color="2C3E50"/>
          <w:bottom w:val="single" w:sz="6" w:space="10" w:color="2C3E50"/>
          <w:right w:val="single" w:sz="2" w:space="0" w:color="2C3E50"/>
        </w:pBdr>
        <w:spacing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2C3E50"/>
          <w:sz w:val="27"/>
          <w:szCs w:val="27"/>
          <w:lang w:eastAsia="bg-BG"/>
        </w:rPr>
      </w:pPr>
      <w:r w:rsidRPr="005C24CD">
        <w:rPr>
          <w:rFonts w:ascii="Times New Roman" w:eastAsia="Times New Roman" w:hAnsi="Times New Roman" w:cs="Times New Roman"/>
          <w:b/>
          <w:bCs/>
          <w:color w:val="2C3E50"/>
          <w:sz w:val="27"/>
          <w:szCs w:val="27"/>
          <w:lang w:eastAsia="bg-BG"/>
        </w:rPr>
        <w:t>ДОКУМЕНТИ</w:t>
      </w:r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>
        <w:r w:rsidR="005C24CD" w:rsidRPr="005C24CD">
          <w:rPr>
            <w:rFonts w:ascii="Times New Roman" w:eastAsia="Times New Roman" w:hAnsi="Times New Roman" w:cs="Times New Roman"/>
            <w:color w:val="2C3E50"/>
            <w:sz w:val="23"/>
            <w:szCs w:val="23"/>
            <w:u w:val="single"/>
            <w:lang w:eastAsia="bg-BG"/>
          </w:rPr>
          <w:t>Етичен кодекс на работещите в Детска градина №124 "Бърборино“</w:t>
        </w:r>
      </w:hyperlink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="005C24CD" w:rsidRPr="005C24CD">
          <w:rPr>
            <w:rFonts w:ascii="Times New Roman" w:eastAsia="Times New Roman" w:hAnsi="Times New Roman" w:cs="Times New Roman"/>
            <w:color w:val="2C3E50"/>
            <w:sz w:val="23"/>
            <w:szCs w:val="23"/>
            <w:u w:val="single"/>
            <w:lang w:eastAsia="bg-BG"/>
          </w:rPr>
          <w:t>Мерки за повишаване на качеството на образование</w:t>
        </w:r>
      </w:hyperlink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="005C24CD" w:rsidRPr="005C24CD">
          <w:rPr>
            <w:rFonts w:ascii="Times New Roman" w:eastAsia="Times New Roman" w:hAnsi="Times New Roman" w:cs="Times New Roman"/>
            <w:color w:val="2C3E50"/>
            <w:sz w:val="23"/>
            <w:szCs w:val="23"/>
            <w:u w:val="single"/>
            <w:lang w:eastAsia="bg-BG"/>
          </w:rPr>
          <w:t>Годишен план за дейността</w:t>
        </w:r>
      </w:hyperlink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r w:rsidR="005C24CD" w:rsidRPr="005C24CD">
          <w:rPr>
            <w:rFonts w:ascii="Times New Roman" w:eastAsia="Times New Roman" w:hAnsi="Times New Roman" w:cs="Times New Roman"/>
            <w:color w:val="2C3E50"/>
            <w:sz w:val="23"/>
            <w:szCs w:val="23"/>
            <w:u w:val="single"/>
            <w:lang w:eastAsia="bg-BG"/>
          </w:rPr>
          <w:t>Правилник за дейността на детската градина</w:t>
        </w:r>
      </w:hyperlink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history="1">
        <w:r w:rsidR="005C24CD" w:rsidRPr="005C24CD">
          <w:rPr>
            <w:rFonts w:ascii="Times New Roman" w:eastAsia="Times New Roman" w:hAnsi="Times New Roman" w:cs="Times New Roman"/>
            <w:color w:val="2C3E50"/>
            <w:sz w:val="23"/>
            <w:szCs w:val="23"/>
            <w:u w:val="single"/>
            <w:lang w:eastAsia="bg-BG"/>
          </w:rPr>
          <w:t>Стратегия за развитие и план за действие и финансиране</w:t>
        </w:r>
      </w:hyperlink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history="1">
        <w:r w:rsidR="005C24CD" w:rsidRPr="005C24CD">
          <w:rPr>
            <w:rFonts w:ascii="Times New Roman" w:eastAsia="Times New Roman" w:hAnsi="Times New Roman" w:cs="Times New Roman"/>
            <w:color w:val="2C3E50"/>
            <w:sz w:val="23"/>
            <w:szCs w:val="23"/>
            <w:u w:val="single"/>
            <w:lang w:eastAsia="bg-BG"/>
          </w:rPr>
          <w:t>Програма за превенция на ранното напускане на образователната система</w:t>
        </w:r>
      </w:hyperlink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history="1">
        <w:r w:rsidR="005C24CD" w:rsidRPr="005C24CD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shd w:val="clear" w:color="auto" w:fill="EBA34C"/>
            <w:lang w:eastAsia="bg-BG"/>
          </w:rPr>
          <w:t>Програма за предоставяне на равни възможности и за приобщаване на децата от уязвими групи</w:t>
        </w:r>
      </w:hyperlink>
    </w:p>
    <w:p w:rsidR="005C24CD" w:rsidRPr="005C24CD" w:rsidRDefault="002411C7" w:rsidP="005C24CD">
      <w:pPr>
        <w:numPr>
          <w:ilvl w:val="0"/>
          <w:numId w:val="24"/>
        </w:numPr>
        <w:pBdr>
          <w:bottom w:val="single" w:sz="6" w:space="0" w:color="FFFFFF"/>
        </w:pBdr>
        <w:shd w:val="clear" w:color="auto" w:fill="EFEEE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history="1">
        <w:r w:rsidR="005C24CD" w:rsidRPr="005C24CD">
          <w:rPr>
            <w:rFonts w:ascii="Times New Roman" w:eastAsia="Times New Roman" w:hAnsi="Times New Roman" w:cs="Times New Roman"/>
            <w:color w:val="2C3E50"/>
            <w:sz w:val="23"/>
            <w:szCs w:val="23"/>
            <w:u w:val="single"/>
            <w:lang w:eastAsia="bg-BG"/>
          </w:rPr>
          <w:t>Програмна система</w:t>
        </w:r>
      </w:hyperlink>
    </w:p>
    <w:p w:rsidR="000045B9" w:rsidRDefault="000045B9"/>
    <w:sectPr w:rsidR="0000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F72"/>
    <w:multiLevelType w:val="multilevel"/>
    <w:tmpl w:val="1E3C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3059"/>
    <w:multiLevelType w:val="multilevel"/>
    <w:tmpl w:val="02DA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167B"/>
    <w:multiLevelType w:val="multilevel"/>
    <w:tmpl w:val="28E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D77C0"/>
    <w:multiLevelType w:val="multilevel"/>
    <w:tmpl w:val="95F8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22734"/>
    <w:multiLevelType w:val="multilevel"/>
    <w:tmpl w:val="7108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023E5"/>
    <w:multiLevelType w:val="multilevel"/>
    <w:tmpl w:val="90E63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A3D33"/>
    <w:multiLevelType w:val="multilevel"/>
    <w:tmpl w:val="38604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B1D6E"/>
    <w:multiLevelType w:val="multilevel"/>
    <w:tmpl w:val="686EE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55F6C"/>
    <w:multiLevelType w:val="multilevel"/>
    <w:tmpl w:val="DB6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C1FE1"/>
    <w:multiLevelType w:val="multilevel"/>
    <w:tmpl w:val="7CFC7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4194D"/>
    <w:multiLevelType w:val="multilevel"/>
    <w:tmpl w:val="9F60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A376E"/>
    <w:multiLevelType w:val="multilevel"/>
    <w:tmpl w:val="5D6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22F40"/>
    <w:multiLevelType w:val="multilevel"/>
    <w:tmpl w:val="D8524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008B9"/>
    <w:multiLevelType w:val="multilevel"/>
    <w:tmpl w:val="825A1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87795"/>
    <w:multiLevelType w:val="multilevel"/>
    <w:tmpl w:val="B9767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25DAA"/>
    <w:multiLevelType w:val="multilevel"/>
    <w:tmpl w:val="19EA8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42C72"/>
    <w:multiLevelType w:val="multilevel"/>
    <w:tmpl w:val="86AE3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A6104"/>
    <w:multiLevelType w:val="multilevel"/>
    <w:tmpl w:val="2ACAD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14847"/>
    <w:multiLevelType w:val="multilevel"/>
    <w:tmpl w:val="21ECB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17521"/>
    <w:multiLevelType w:val="multilevel"/>
    <w:tmpl w:val="9A0AD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24F46"/>
    <w:multiLevelType w:val="multilevel"/>
    <w:tmpl w:val="C70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656F5"/>
    <w:multiLevelType w:val="multilevel"/>
    <w:tmpl w:val="817E3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F12D3"/>
    <w:multiLevelType w:val="multilevel"/>
    <w:tmpl w:val="A216C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B1634"/>
    <w:multiLevelType w:val="multilevel"/>
    <w:tmpl w:val="E098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A3D02"/>
    <w:multiLevelType w:val="multilevel"/>
    <w:tmpl w:val="58D0A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30715"/>
    <w:multiLevelType w:val="multilevel"/>
    <w:tmpl w:val="AD96E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2"/>
  </w:num>
  <w:num w:numId="5">
    <w:abstractNumId w:val="8"/>
  </w:num>
  <w:num w:numId="6">
    <w:abstractNumId w:val="18"/>
  </w:num>
  <w:num w:numId="7">
    <w:abstractNumId w:val="15"/>
  </w:num>
  <w:num w:numId="8">
    <w:abstractNumId w:val="17"/>
  </w:num>
  <w:num w:numId="9">
    <w:abstractNumId w:val="23"/>
  </w:num>
  <w:num w:numId="10">
    <w:abstractNumId w:val="7"/>
  </w:num>
  <w:num w:numId="11">
    <w:abstractNumId w:val="24"/>
  </w:num>
  <w:num w:numId="12">
    <w:abstractNumId w:val="16"/>
  </w:num>
  <w:num w:numId="13">
    <w:abstractNumId w:val="9"/>
  </w:num>
  <w:num w:numId="14">
    <w:abstractNumId w:val="19"/>
  </w:num>
  <w:num w:numId="15">
    <w:abstractNumId w:val="25"/>
  </w:num>
  <w:num w:numId="16">
    <w:abstractNumId w:val="10"/>
  </w:num>
  <w:num w:numId="17">
    <w:abstractNumId w:val="1"/>
  </w:num>
  <w:num w:numId="18">
    <w:abstractNumId w:val="13"/>
  </w:num>
  <w:num w:numId="19">
    <w:abstractNumId w:val="14"/>
  </w:num>
  <w:num w:numId="20">
    <w:abstractNumId w:val="21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D"/>
    <w:rsid w:val="000045B9"/>
    <w:rsid w:val="002411C7"/>
    <w:rsid w:val="004A20D8"/>
    <w:rsid w:val="004F2256"/>
    <w:rsid w:val="005C24CD"/>
    <w:rsid w:val="007563D8"/>
    <w:rsid w:val="00B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17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247">
                      <w:marLeft w:val="184"/>
                      <w:marRight w:val="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097">
                      <w:marLeft w:val="184"/>
                      <w:marRight w:val="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793">
                      <w:marLeft w:val="184"/>
                      <w:marRight w:val="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7908">
                      <w:marLeft w:val="184"/>
                      <w:marRight w:val="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4cdg.eu/bg/godishen-plan-za-deynostta" TargetMode="External"/><Relationship Id="rId13" Type="http://schemas.openxmlformats.org/officeDocument/2006/relationships/hyperlink" Target="https://124cdg.eu/bg/programna-siste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24cdg.eu/bg/merki-za-povishavane-na-kachestvoto-na-obrazovanie" TargetMode="External"/><Relationship Id="rId12" Type="http://schemas.openxmlformats.org/officeDocument/2006/relationships/hyperlink" Target="https://124cdg.eu/bg/programa-za-predostavyane-na-ravni-vazmojnosti-i-za-priobshtavane-na-detsata-ot-uyazvimi-gru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4cdg.eu/bg/etichen-kodeks-na-raboteshtite-v-dg-124-barborino" TargetMode="External"/><Relationship Id="rId11" Type="http://schemas.openxmlformats.org/officeDocument/2006/relationships/hyperlink" Target="https://124cdg.eu/bg/programa-za-preventsiya-na-rannoto-napuskane-na-obrazovatelnata-siste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24cdg.eu/bg/strategiya-za-razvitie-i-plan-za-deystvie-i-finansir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24cdg.eu/bg/pravilnik-za-deynostta-na-detskata-grad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2020-10-24T07:11:00Z</dcterms:created>
  <dcterms:modified xsi:type="dcterms:W3CDTF">2020-11-04T10:25:00Z</dcterms:modified>
</cp:coreProperties>
</file>